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74" w:rsidRPr="001C1B74" w:rsidRDefault="001C1B74" w:rsidP="001C1B74">
      <w:pPr>
        <w:jc w:val="center"/>
        <w:rPr>
          <w:rFonts w:ascii="Arial" w:hAnsi="Arial" w:cs="Arial"/>
          <w:sz w:val="40"/>
          <w:szCs w:val="40"/>
        </w:rPr>
      </w:pPr>
      <w:r w:rsidRPr="001C1B74">
        <w:rPr>
          <w:rFonts w:ascii="Arial" w:hAnsi="Arial" w:cs="Arial"/>
          <w:sz w:val="40"/>
          <w:szCs w:val="40"/>
        </w:rPr>
        <w:t xml:space="preserve">Gestionnaire </w:t>
      </w:r>
      <w:proofErr w:type="spellStart"/>
      <w:r w:rsidRPr="001C1B74">
        <w:rPr>
          <w:rFonts w:ascii="Arial" w:hAnsi="Arial" w:cs="Arial"/>
          <w:sz w:val="40"/>
          <w:szCs w:val="40"/>
        </w:rPr>
        <w:t>financier-e</w:t>
      </w:r>
      <w:proofErr w:type="spellEnd"/>
      <w:r w:rsidRPr="001C1B74">
        <w:rPr>
          <w:rFonts w:ascii="Arial" w:hAnsi="Arial" w:cs="Arial"/>
          <w:sz w:val="40"/>
          <w:szCs w:val="40"/>
        </w:rPr>
        <w:t xml:space="preserve"> et comptable</w:t>
      </w:r>
    </w:p>
    <w:p w:rsidR="001C1B74" w:rsidRPr="001C1B74" w:rsidRDefault="001C1B74" w:rsidP="001C1B74">
      <w:pPr>
        <w:rPr>
          <w:rFonts w:ascii="Arial" w:hAnsi="Arial" w:cs="Arial"/>
        </w:rPr>
      </w:pPr>
    </w:p>
    <w:p w:rsidR="001C1B74" w:rsidRPr="001C1B74" w:rsidRDefault="001C1B74" w:rsidP="001C1B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C1B74">
        <w:rPr>
          <w:rFonts w:ascii="Arial" w:hAnsi="Arial" w:cs="Arial"/>
          <w:b/>
          <w:sz w:val="24"/>
          <w:szCs w:val="24"/>
        </w:rPr>
        <w:t xml:space="preserve">Mission : </w:t>
      </w:r>
      <w:r w:rsidRPr="001C1B74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Au sein du service administratif du laboratoire, le (la) gestionnaire sera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affecté(e) au pôle comptabilité. Il (elle) participe à l'exécution des actes de gestion financière et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comptable dans le respect des techniques, des règles et procédures applicables au domaine d'activité.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Il(elle) peut être amené(e) à effectuer des tâches administratives.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 xml:space="preserve"> 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C1B74">
        <w:rPr>
          <w:rFonts w:ascii="Arial" w:hAnsi="Arial" w:cs="Arial"/>
          <w:b/>
          <w:sz w:val="24"/>
          <w:szCs w:val="24"/>
        </w:rPr>
        <w:t xml:space="preserve">Activités : </w:t>
      </w:r>
      <w:r w:rsidRPr="001C1B74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Réaliser, suivre et contrôler les différents actes de gestion financière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S'informer et suivre l'évolution de la règlementation dans son domaine d'activité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Conseiller les personnels sur les procédures d'achat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Collecter et contrôler les pièces justificatives nécessaires aux opérations de gestion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Classer et archiver les dossiers et pièces justificatives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Faire le lien avec le service financier de la Délégation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De manière exceptionnelle, assurer en binôme l'accueil physique et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téléphonique du laboratoire.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 xml:space="preserve"> 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C1B74">
        <w:rPr>
          <w:rFonts w:ascii="Arial" w:hAnsi="Arial" w:cs="Arial"/>
          <w:b/>
          <w:sz w:val="24"/>
          <w:szCs w:val="24"/>
        </w:rPr>
        <w:t xml:space="preserve">Compétences : </w:t>
      </w:r>
      <w:r w:rsidRPr="001C1B74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Notions de base de la comptabilité publique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Maîtrise des processus de la gestion financière et comptable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Notions de base des principes de la commande publique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Savoir appliquer la réglementation afférente et respecter les procédures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Maîtriser les outils bureautiques courants (Excel, Word, Power Point)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Avoir une aptitude aux logiciels spécifiques à l'activité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Savoir organiser son travail, gérer les priorités et respecter les échéances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Faire preuve de rigueur et d'autonomie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lastRenderedPageBreak/>
        <w:t>- Avoir un bon sens relationnel et des aptitudes au travail en équipe et en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collaboration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- Savoir informer, échanger et rendre compte.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 xml:space="preserve"> </w:t>
      </w:r>
    </w:p>
    <w:p w:rsidR="001C1B74" w:rsidRPr="0055432B" w:rsidRDefault="001C1B74" w:rsidP="001C1B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5432B">
        <w:rPr>
          <w:rFonts w:ascii="Arial" w:hAnsi="Arial" w:cs="Arial"/>
          <w:b/>
          <w:sz w:val="24"/>
          <w:szCs w:val="24"/>
        </w:rPr>
        <w:t xml:space="preserve">Contexte : </w:t>
      </w:r>
      <w:r w:rsidRPr="0055432B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L'Institut de Recherches sur la Catalyse et l'Environnement de Lyon (IRCELYON)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est une UMR CNRS / Université Claude Bernard LYON 1 rattachée à l'Institut de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Chimie.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Il compte environ 200 personnels répartis en 5 équipes de recherche et des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services supports.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Le budget global du laboratoire est d'environ de 6 millions d'€ gérés en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Délégation Globale de Gestion CNRS.</w:t>
      </w:r>
    </w:p>
    <w:p w:rsidR="001C1B74" w:rsidRPr="001C1B74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Le(la) gestionnaire exercera ses fonctions au sein de l'équipe administrative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composée de 5 personnes. Il(elle) rejoindra l'équipe de gestion composée d'une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autre gestionnaire.</w:t>
      </w:r>
    </w:p>
    <w:p w:rsidR="0053782A" w:rsidRDefault="001C1B74" w:rsidP="001C1B74">
      <w:pPr>
        <w:spacing w:line="276" w:lineRule="auto"/>
        <w:rPr>
          <w:rFonts w:ascii="Arial" w:hAnsi="Arial" w:cs="Arial"/>
          <w:sz w:val="24"/>
          <w:szCs w:val="24"/>
        </w:rPr>
      </w:pPr>
      <w:r w:rsidRPr="001C1B74">
        <w:rPr>
          <w:rFonts w:ascii="Arial" w:hAnsi="Arial" w:cs="Arial"/>
          <w:sz w:val="24"/>
          <w:szCs w:val="24"/>
        </w:rPr>
        <w:t>Il(elle) sera placé(e) sous la responsabilité hiérarchique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de la Responsable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Administrative et Financière du laboratoire et interagira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avec l'ensemble des services et acteurs internes de l'unité ainsi qu'en</w:t>
      </w:r>
      <w:r>
        <w:rPr>
          <w:rFonts w:ascii="Arial" w:hAnsi="Arial" w:cs="Arial"/>
          <w:sz w:val="24"/>
          <w:szCs w:val="24"/>
        </w:rPr>
        <w:t xml:space="preserve"> </w:t>
      </w:r>
      <w:r w:rsidRPr="001C1B74">
        <w:rPr>
          <w:rFonts w:ascii="Arial" w:hAnsi="Arial" w:cs="Arial"/>
          <w:sz w:val="24"/>
          <w:szCs w:val="24"/>
        </w:rPr>
        <w:t>externe avec les fournisseurs et les services centraux.</w:t>
      </w:r>
    </w:p>
    <w:p w:rsidR="00C47452" w:rsidRDefault="00C47452" w:rsidP="001C1B74">
      <w:pPr>
        <w:spacing w:line="276" w:lineRule="auto"/>
        <w:rPr>
          <w:rFonts w:ascii="Arial" w:hAnsi="Arial" w:cs="Arial"/>
          <w:sz w:val="24"/>
          <w:szCs w:val="24"/>
        </w:rPr>
      </w:pPr>
    </w:p>
    <w:p w:rsidR="00C47452" w:rsidRPr="0055432B" w:rsidRDefault="00C47452" w:rsidP="001C1B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5432B">
        <w:rPr>
          <w:rFonts w:ascii="Arial" w:hAnsi="Arial" w:cs="Arial"/>
          <w:b/>
          <w:sz w:val="24"/>
          <w:szCs w:val="24"/>
        </w:rPr>
        <w:t xml:space="preserve">Si vous êtes intéressé, consulter le site du CNRS : </w:t>
      </w:r>
      <w:hyperlink r:id="rId4" w:history="1">
        <w:r w:rsidRPr="0055432B">
          <w:rPr>
            <w:rStyle w:val="Lienhypertexte"/>
            <w:rFonts w:ascii="Arial" w:hAnsi="Arial" w:cs="Arial"/>
            <w:b/>
            <w:sz w:val="24"/>
            <w:szCs w:val="24"/>
          </w:rPr>
          <w:t>http://www.dgdr.cnrs.fr/drhita/concoursita/</w:t>
        </w:r>
      </w:hyperlink>
    </w:p>
    <w:p w:rsidR="00C47452" w:rsidRPr="0055432B" w:rsidRDefault="00C47452" w:rsidP="001C1B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5432B">
        <w:rPr>
          <w:rFonts w:ascii="Arial" w:hAnsi="Arial" w:cs="Arial"/>
          <w:b/>
          <w:sz w:val="24"/>
          <w:szCs w:val="24"/>
        </w:rPr>
        <w:t>Concours n°223</w:t>
      </w:r>
      <w:bookmarkStart w:id="0" w:name="_GoBack"/>
      <w:bookmarkEnd w:id="0"/>
    </w:p>
    <w:sectPr w:rsidR="00C47452" w:rsidRPr="0055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74"/>
    <w:rsid w:val="001C1B74"/>
    <w:rsid w:val="0053782A"/>
    <w:rsid w:val="0055432B"/>
    <w:rsid w:val="00C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4597"/>
  <w15:chartTrackingRefBased/>
  <w15:docId w15:val="{43D26DB9-01C0-4E1C-8F16-A6633D39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74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gdr.cnrs.fr/drhita/concoursit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2185</Characters>
  <Application>Microsoft Office Word</Application>
  <DocSecurity>0</DocSecurity>
  <Lines>18</Lines>
  <Paragraphs>5</Paragraphs>
  <ScaleCrop>false</ScaleCrop>
  <Company>Ircelyon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fabre</dc:creator>
  <cp:keywords/>
  <dc:description/>
  <cp:lastModifiedBy>marlene fabre</cp:lastModifiedBy>
  <cp:revision>3</cp:revision>
  <dcterms:created xsi:type="dcterms:W3CDTF">2021-06-03T14:52:00Z</dcterms:created>
  <dcterms:modified xsi:type="dcterms:W3CDTF">2021-06-03T15:00:00Z</dcterms:modified>
</cp:coreProperties>
</file>