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4969" w14:textId="77777777" w:rsidR="007C7C06" w:rsidRPr="00EB50D6" w:rsidRDefault="007C7C06" w:rsidP="009A474B">
      <w:pPr>
        <w:tabs>
          <w:tab w:val="left" w:pos="1290"/>
        </w:tabs>
        <w:rPr>
          <w:rFonts w:ascii="Montserrat" w:hAnsi="Montserrat"/>
        </w:rPr>
      </w:pPr>
    </w:p>
    <w:p w14:paraId="116DFD77" w14:textId="4BA1EFF6" w:rsidR="007C7C06" w:rsidRPr="00EB50D6" w:rsidRDefault="007C7C06" w:rsidP="009A474B">
      <w:pPr>
        <w:tabs>
          <w:tab w:val="left" w:pos="1290"/>
        </w:tabs>
        <w:rPr>
          <w:rFonts w:ascii="Montserrat" w:hAnsi="Montserrat"/>
        </w:rPr>
      </w:pPr>
    </w:p>
    <w:p w14:paraId="553495D6" w14:textId="734CDEED" w:rsidR="00A03B91" w:rsidRDefault="009647DD" w:rsidP="00A03B91">
      <w:pPr>
        <w:pStyle w:val="Titre1"/>
        <w:spacing w:line="276" w:lineRule="auto"/>
        <w:jc w:val="both"/>
        <w:rPr>
          <w:sz w:val="28"/>
          <w:szCs w:val="28"/>
          <w:lang w:val="en-US"/>
        </w:rPr>
      </w:pPr>
      <w:r w:rsidRPr="00EB50D6">
        <w:rPr>
          <w:rFonts w:ascii="Montserrat" w:hAnsi="Montserrat"/>
        </w:rPr>
        <w:drawing>
          <wp:anchor distT="0" distB="0" distL="114300" distR="114300" simplePos="0" relativeHeight="251665408" behindDoc="1" locked="0" layoutInCell="1" allowOverlap="1" wp14:anchorId="6EBEEC9D" wp14:editId="6FD66B7C">
            <wp:simplePos x="0" y="0"/>
            <wp:positionH relativeFrom="page">
              <wp:posOffset>0</wp:posOffset>
            </wp:positionH>
            <wp:positionV relativeFrom="margin">
              <wp:posOffset>957770</wp:posOffset>
            </wp:positionV>
            <wp:extent cx="3365500" cy="6602095"/>
            <wp:effectExtent l="0" t="0" r="635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ligrane-ente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5500" cy="6602095"/>
                    </a:xfrm>
                    <a:prstGeom prst="rect">
                      <a:avLst/>
                    </a:prstGeom>
                  </pic:spPr>
                </pic:pic>
              </a:graphicData>
            </a:graphic>
            <wp14:sizeRelH relativeFrom="margin">
              <wp14:pctWidth>0</wp14:pctWidth>
            </wp14:sizeRelH>
            <wp14:sizeRelV relativeFrom="margin">
              <wp14:pctHeight>0</wp14:pctHeight>
            </wp14:sizeRelV>
          </wp:anchor>
        </w:drawing>
      </w:r>
      <w:r w:rsidR="00A03B91" w:rsidRPr="00DF6FF7">
        <w:rPr>
          <w:lang w:val="en-US"/>
        </w:rPr>
        <w:t>PhD Thesis Proposal 2026–2029</w:t>
      </w:r>
    </w:p>
    <w:p w14:paraId="5D6519C5" w14:textId="16F9415A" w:rsidR="00A03B91" w:rsidRPr="00A03B91" w:rsidRDefault="00A03B91" w:rsidP="00A03B91">
      <w:pPr>
        <w:jc w:val="both"/>
        <w:rPr>
          <w:lang w:val="en-US"/>
        </w:rPr>
      </w:pPr>
    </w:p>
    <w:p w14:paraId="0A9A820C" w14:textId="2E538349" w:rsidR="00A03B91" w:rsidRPr="00A03B91" w:rsidRDefault="00A03B91" w:rsidP="00A03B91">
      <w:pPr>
        <w:pStyle w:val="Titre2"/>
        <w:spacing w:line="276" w:lineRule="auto"/>
        <w:jc w:val="both"/>
        <w:rPr>
          <w:b/>
          <w:bCs/>
          <w:color w:val="000000" w:themeColor="text1"/>
        </w:rPr>
      </w:pPr>
      <w:r w:rsidRPr="00A03B91">
        <w:rPr>
          <w:b/>
          <w:bCs/>
          <w:color w:val="000000" w:themeColor="text1"/>
        </w:rPr>
        <w:t>Rhenium Sulfide - Based Catalysts for Sustainable Bioethanol Valorization</w:t>
      </w:r>
    </w:p>
    <w:p w14:paraId="647BB3EA" w14:textId="638DAC70" w:rsidR="00A03B91" w:rsidRPr="00A03B91" w:rsidRDefault="00A03B91" w:rsidP="00A03B91">
      <w:pPr>
        <w:rPr>
          <w:lang w:val="en-US"/>
        </w:rPr>
      </w:pPr>
    </w:p>
    <w:p w14:paraId="78B202A1" w14:textId="135DB7D6" w:rsidR="00A03B91" w:rsidRPr="002A7946" w:rsidRDefault="00A03B91" w:rsidP="00A03B91">
      <w:pPr>
        <w:pStyle w:val="Titre2"/>
        <w:spacing w:line="276" w:lineRule="auto"/>
        <w:jc w:val="both"/>
        <w:rPr>
          <w:b/>
          <w:bCs/>
          <w:color w:val="000000" w:themeColor="text1"/>
          <w:lang w:val="fr-FR"/>
        </w:rPr>
      </w:pPr>
      <w:r w:rsidRPr="002A7946">
        <w:rPr>
          <w:b/>
          <w:bCs/>
          <w:color w:val="000000" w:themeColor="text1"/>
          <w:lang w:val="fr-FR"/>
        </w:rPr>
        <w:t>Catalyseurs à base de sulfure de rhénium pour la valorisation durable du bioéthanol</w:t>
      </w:r>
    </w:p>
    <w:p w14:paraId="601BC689" w14:textId="5946FC55" w:rsidR="00A03B91" w:rsidRPr="002A7946" w:rsidRDefault="00A03B91" w:rsidP="00A03B91">
      <w:pPr>
        <w:pStyle w:val="Titre3"/>
        <w:spacing w:line="276" w:lineRule="auto"/>
        <w:jc w:val="both"/>
        <w:rPr>
          <w:b/>
          <w:bCs/>
          <w:color w:val="000000" w:themeColor="text1"/>
          <w:lang w:val="fr-FR"/>
        </w:rPr>
      </w:pPr>
    </w:p>
    <w:p w14:paraId="249C4CEA" w14:textId="77777777" w:rsidR="00A03B91" w:rsidRDefault="00A03B91" w:rsidP="00A03B91">
      <w:pPr>
        <w:pStyle w:val="Titre3"/>
        <w:spacing w:line="276" w:lineRule="auto"/>
        <w:jc w:val="both"/>
        <w:rPr>
          <w:b/>
          <w:bCs/>
          <w:color w:val="000000" w:themeColor="text1"/>
        </w:rPr>
      </w:pPr>
      <w:r w:rsidRPr="00DF6FF7">
        <w:rPr>
          <w:b/>
          <w:bCs/>
          <w:color w:val="000000" w:themeColor="text1"/>
        </w:rPr>
        <w:t xml:space="preserve">Background and Scientific Context: </w:t>
      </w:r>
    </w:p>
    <w:p w14:paraId="1B3F6A01" w14:textId="77777777" w:rsidR="00A03B91" w:rsidRPr="00DF6FF7" w:rsidRDefault="00A03B91" w:rsidP="00A03B91">
      <w:pPr>
        <w:pStyle w:val="Titre3"/>
        <w:spacing w:line="276" w:lineRule="auto"/>
        <w:jc w:val="both"/>
        <w:rPr>
          <w:color w:val="000000" w:themeColor="text1"/>
        </w:rPr>
      </w:pPr>
      <w:r w:rsidRPr="00DF6FF7">
        <w:rPr>
          <w:color w:val="000000" w:themeColor="text1"/>
        </w:rPr>
        <w:t>The transition from fossil-based feedstocks to renewable carbon platforms is a central objective of green chemistry. Bioethanol, widely available from biomass fermentation, is an attractive renewable intermediate for the production of platform chemicals and fuels. Non-oxidative ethanol dehydrogenation (EDH) to acetaldehyde (AA) represents a highly atom-economical route, producing valuable hydrogen as a co-product. However, state-of-the-art Cu-based catalysts suffer from thermal instability</w:t>
      </w:r>
      <w:r>
        <w:rPr>
          <w:color w:val="000000" w:themeColor="text1"/>
        </w:rPr>
        <w:t xml:space="preserve"> </w:t>
      </w:r>
      <w:r w:rsidRPr="00DF6FF7">
        <w:rPr>
          <w:color w:val="000000" w:themeColor="text1"/>
        </w:rPr>
        <w:t>and strong sensitivity to sulfur impurities frequently present in bioethanol.</w:t>
      </w:r>
    </w:p>
    <w:p w14:paraId="6AD2564B" w14:textId="77777777" w:rsidR="00A03B91" w:rsidRPr="00A03B91" w:rsidRDefault="00A03B91" w:rsidP="00A03B91">
      <w:pPr>
        <w:jc w:val="both"/>
        <w:rPr>
          <w:lang w:val="en-US"/>
        </w:rPr>
      </w:pPr>
      <w:r w:rsidRPr="00A03B91">
        <w:rPr>
          <w:lang w:val="en-US"/>
        </w:rPr>
        <w:t>This project proposes the development of rhenium sulfide (ReS</w:t>
      </w:r>
      <w:r w:rsidRPr="00A03B91">
        <w:rPr>
          <w:vertAlign w:val="subscript"/>
          <w:lang w:val="en-US"/>
        </w:rPr>
        <w:t>2</w:t>
      </w:r>
      <w:r w:rsidRPr="00A03B91">
        <w:rPr>
          <w:lang w:val="en-US"/>
        </w:rPr>
        <w:t>) -based catalysts as robust and sulfur-tolerant alternatives. Transition metal sulfides provide intrinsically stable edge sites that are resistant to sintering and sulfur poisoning. Our preliminary results indicate that ReS2 exhibits high activity and selectivity for non-oxidative EDH. Beyond acetaldehyde production, ReS</w:t>
      </w:r>
      <w:r w:rsidRPr="00A03B91">
        <w:rPr>
          <w:vertAlign w:val="subscript"/>
          <w:lang w:val="en-US"/>
        </w:rPr>
        <w:t>2</w:t>
      </w:r>
      <w:r w:rsidRPr="00A03B91">
        <w:rPr>
          <w:lang w:val="en-US"/>
        </w:rPr>
        <w:t xml:space="preserve"> may serve as a key upstream catalyst in cascade systems converting ethanol into higher-value chemicals such as n-butanol, 1,3-butadiene, and C4+ oxygenates.</w:t>
      </w:r>
    </w:p>
    <w:p w14:paraId="22456259" w14:textId="77777777" w:rsidR="00A03B91" w:rsidRPr="00DF6FF7" w:rsidRDefault="00A03B91" w:rsidP="00A03B91">
      <w:pPr>
        <w:pStyle w:val="Titre3"/>
        <w:spacing w:line="276" w:lineRule="auto"/>
        <w:jc w:val="both"/>
        <w:rPr>
          <w:b/>
          <w:bCs/>
        </w:rPr>
      </w:pPr>
      <w:r w:rsidRPr="002A7946">
        <w:rPr>
          <w:b/>
          <w:bCs/>
          <w:color w:val="000000" w:themeColor="text1"/>
        </w:rPr>
        <w:t>Objectives of the PhD Project</w:t>
      </w:r>
      <w:r>
        <w:rPr>
          <w:b/>
          <w:bCs/>
        </w:rPr>
        <w:t>:</w:t>
      </w:r>
    </w:p>
    <w:p w14:paraId="5ADAC7C6" w14:textId="77777777" w:rsidR="00A03B91" w:rsidRPr="00A03B91" w:rsidRDefault="00A03B91" w:rsidP="00A03B91">
      <w:pPr>
        <w:jc w:val="both"/>
        <w:rPr>
          <w:lang w:val="en-US"/>
        </w:rPr>
      </w:pPr>
      <w:r w:rsidRPr="00A03B91">
        <w:rPr>
          <w:lang w:val="en-US"/>
        </w:rPr>
        <w:t>The main goal is to establish ReS</w:t>
      </w:r>
      <w:r w:rsidRPr="00A03B91">
        <w:rPr>
          <w:vertAlign w:val="subscript"/>
          <w:lang w:val="en-US"/>
        </w:rPr>
        <w:t>2</w:t>
      </w:r>
      <w:r w:rsidRPr="00A03B91">
        <w:rPr>
          <w:lang w:val="en-US"/>
        </w:rPr>
        <w:t>-based catalysts as efficient and stable platforms for bioethanol valorisation. The specific objectives are:</w:t>
      </w:r>
    </w:p>
    <w:p w14:paraId="162ECFCC" w14:textId="77777777" w:rsidR="00A03B91" w:rsidRPr="00A03B91" w:rsidRDefault="00A03B91" w:rsidP="00A03B91">
      <w:pPr>
        <w:jc w:val="both"/>
        <w:rPr>
          <w:lang w:val="en-US"/>
        </w:rPr>
      </w:pPr>
      <w:r w:rsidRPr="00A03B91">
        <w:rPr>
          <w:lang w:val="en-US"/>
        </w:rPr>
        <w:t>- Optimize the intrinsic activity and selectivity of ReS2 catalysts for non-oxidative EDH.</w:t>
      </w:r>
    </w:p>
    <w:p w14:paraId="1CE688EC" w14:textId="77777777" w:rsidR="00A03B91" w:rsidRPr="00A03B91" w:rsidRDefault="00A03B91" w:rsidP="00A03B91">
      <w:pPr>
        <w:jc w:val="both"/>
        <w:rPr>
          <w:lang w:val="en-US"/>
        </w:rPr>
      </w:pPr>
      <w:r w:rsidRPr="00A03B91">
        <w:rPr>
          <w:lang w:val="en-US"/>
        </w:rPr>
        <w:t>- Elucidate the structure-activity relationships of sulfide active sites using advanced characterization and operando spectroscopy.</w:t>
      </w:r>
    </w:p>
    <w:p w14:paraId="531F87F8" w14:textId="77777777" w:rsidR="00A03B91" w:rsidRPr="00A03B91" w:rsidRDefault="00A03B91" w:rsidP="00A03B91">
      <w:pPr>
        <w:jc w:val="both"/>
        <w:rPr>
          <w:lang w:val="en-US"/>
        </w:rPr>
      </w:pPr>
      <w:r w:rsidRPr="00A03B91">
        <w:rPr>
          <w:lang w:val="en-US"/>
        </w:rPr>
        <w:t>- Develop bifunctional composite catalysts (mechanical mixtures, tandem beds, core-shell architectures) enabling cascade transformations of ethanol-derived acetaldehyde toward C4+ products.</w:t>
      </w:r>
    </w:p>
    <w:p w14:paraId="2F8112BC" w14:textId="77777777" w:rsidR="00A03B91" w:rsidRPr="00DF6FF7" w:rsidRDefault="00A03B91" w:rsidP="00A03B91">
      <w:pPr>
        <w:pStyle w:val="Titre3"/>
        <w:spacing w:line="276" w:lineRule="auto"/>
        <w:jc w:val="both"/>
        <w:rPr>
          <w:b/>
          <w:bCs/>
        </w:rPr>
      </w:pPr>
      <w:r w:rsidRPr="00DF6FF7">
        <w:rPr>
          <w:b/>
          <w:bCs/>
          <w:color w:val="000000" w:themeColor="text1"/>
        </w:rPr>
        <w:t>Methodology and Work Plan</w:t>
      </w:r>
      <w:r>
        <w:rPr>
          <w:b/>
          <w:bCs/>
          <w:color w:val="000000" w:themeColor="text1"/>
        </w:rPr>
        <w:t>:</w:t>
      </w:r>
    </w:p>
    <w:p w14:paraId="05B881C1" w14:textId="77777777" w:rsidR="00A03B91" w:rsidRPr="00A03B91" w:rsidRDefault="00A03B91" w:rsidP="00A03B91">
      <w:pPr>
        <w:jc w:val="both"/>
        <w:rPr>
          <w:lang w:val="en-US"/>
        </w:rPr>
      </w:pPr>
      <w:r w:rsidRPr="00A03B91">
        <w:rPr>
          <w:i/>
          <w:iCs/>
          <w:lang w:val="en-US"/>
        </w:rPr>
        <w:t>Work Package 1</w:t>
      </w:r>
      <w:r w:rsidRPr="00A03B91">
        <w:rPr>
          <w:lang w:val="en-US"/>
        </w:rPr>
        <w:t xml:space="preserve"> (Months 1–12): Catalyst Design and EDH Optimization. ReS2 will be synthesized on carbon supports, including nitrogen-doped mesoporous carbons. Promoters such as Co, Ni, or alkali metals will be introduced to tune hydrogen binding and surface acidity. Catalysts will be characterized by XRD, XPS, STEM-HAADF, chemisorption, and operando XAS. EDH performance will be evaluated </w:t>
      </w:r>
      <w:r w:rsidRPr="00A03B91">
        <w:rPr>
          <w:lang w:val="en-US"/>
        </w:rPr>
        <w:lastRenderedPageBreak/>
        <w:t>between 250–350 °C under 1–50 bar. Stability and sulfur tolerance will be benchmarked against Cu-based systems.</w:t>
      </w:r>
    </w:p>
    <w:p w14:paraId="12567938" w14:textId="2977D67E" w:rsidR="00A03B91" w:rsidRPr="00A03B91" w:rsidRDefault="009647DD" w:rsidP="00A03B91">
      <w:pPr>
        <w:jc w:val="both"/>
        <w:rPr>
          <w:lang w:val="en-US"/>
        </w:rPr>
      </w:pPr>
      <w:r w:rsidRPr="00EB50D6">
        <w:rPr>
          <w:rFonts w:ascii="Montserrat" w:hAnsi="Montserrat"/>
          <w:noProof/>
        </w:rPr>
        <w:drawing>
          <wp:anchor distT="0" distB="0" distL="114300" distR="114300" simplePos="0" relativeHeight="251663360" behindDoc="1" locked="0" layoutInCell="1" allowOverlap="1" wp14:anchorId="5CD92292" wp14:editId="36034474">
            <wp:simplePos x="0" y="0"/>
            <wp:positionH relativeFrom="column">
              <wp:posOffset>-904875</wp:posOffset>
            </wp:positionH>
            <wp:positionV relativeFrom="margin">
              <wp:posOffset>1025335</wp:posOffset>
            </wp:positionV>
            <wp:extent cx="3365500" cy="6602095"/>
            <wp:effectExtent l="0" t="0" r="635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ligrane-ente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5500" cy="6602095"/>
                    </a:xfrm>
                    <a:prstGeom prst="rect">
                      <a:avLst/>
                    </a:prstGeom>
                  </pic:spPr>
                </pic:pic>
              </a:graphicData>
            </a:graphic>
            <wp14:sizeRelH relativeFrom="margin">
              <wp14:pctWidth>0</wp14:pctWidth>
            </wp14:sizeRelH>
            <wp14:sizeRelV relativeFrom="margin">
              <wp14:pctHeight>0</wp14:pctHeight>
            </wp14:sizeRelV>
          </wp:anchor>
        </w:drawing>
      </w:r>
      <w:r w:rsidR="00A03B91" w:rsidRPr="00A03B91">
        <w:rPr>
          <w:i/>
          <w:iCs/>
          <w:lang w:val="en-US"/>
        </w:rPr>
        <w:t>Work Package 2</w:t>
      </w:r>
      <w:r w:rsidR="00A03B91" w:rsidRPr="00A03B91">
        <w:rPr>
          <w:lang w:val="en-US"/>
        </w:rPr>
        <w:t xml:space="preserve"> (Months 13–24): Development of Bifunctional Systems. ReS2 will be combined with basic or amphoteric oxides and zeolites to promote C–C coupling and cascade reactions. Mechanical mixtures and dual-bed configurations will be tested for Guerbet coupling (ethanol to n-butanol) and Lebedev-type conversion to 1,3-butadiene. Kinetic studies and in situ spectroscopies (DRIFTS, Raman) will be performed to identify reaction pathways and optimize acid–base balance.</w:t>
      </w:r>
    </w:p>
    <w:p w14:paraId="1A752459" w14:textId="77777777" w:rsidR="00A03B91" w:rsidRPr="00A03B91" w:rsidRDefault="00A03B91" w:rsidP="00A03B91">
      <w:pPr>
        <w:jc w:val="both"/>
        <w:rPr>
          <w:lang w:val="en-US"/>
        </w:rPr>
      </w:pPr>
      <w:r w:rsidRPr="00A03B91">
        <w:rPr>
          <w:i/>
          <w:iCs/>
          <w:lang w:val="en-US"/>
        </w:rPr>
        <w:t>Work Package 3</w:t>
      </w:r>
      <w:r w:rsidRPr="00A03B91">
        <w:rPr>
          <w:lang w:val="en-US"/>
        </w:rPr>
        <w:t xml:space="preserve"> (Months 25–36): Integrated Cascade and Core-Shell Architectures. Core-shell systems and spatially separated tandem catalysts will be engineered to control selectivity and suppress undesired dehydration. Operando XAS and complementary spectroscopies will correlate active-site structure with product distribution. The most promising systems will be evaluated for long-term stability and selectivity toward C4+ oxygenates and aromatics.</w:t>
      </w:r>
    </w:p>
    <w:p w14:paraId="1B003D5B" w14:textId="77777777" w:rsidR="00A03B91" w:rsidRDefault="00A03B91" w:rsidP="00A03B91">
      <w:pPr>
        <w:pStyle w:val="Titre3"/>
        <w:spacing w:line="276" w:lineRule="auto"/>
        <w:jc w:val="both"/>
        <w:rPr>
          <w:b/>
          <w:bCs/>
          <w:color w:val="000000" w:themeColor="text1"/>
        </w:rPr>
      </w:pPr>
    </w:p>
    <w:p w14:paraId="733E896C" w14:textId="77777777" w:rsidR="00A03B91" w:rsidRPr="00DF6FF7" w:rsidRDefault="00A03B91" w:rsidP="00A03B91">
      <w:pPr>
        <w:pStyle w:val="Titre3"/>
        <w:spacing w:line="276" w:lineRule="auto"/>
        <w:jc w:val="both"/>
        <w:rPr>
          <w:b/>
          <w:bCs/>
          <w:color w:val="000000" w:themeColor="text1"/>
        </w:rPr>
      </w:pPr>
      <w:r w:rsidRPr="00DF6FF7">
        <w:rPr>
          <w:b/>
          <w:bCs/>
          <w:color w:val="000000" w:themeColor="text1"/>
        </w:rPr>
        <w:t>Expected Impact</w:t>
      </w:r>
      <w:r>
        <w:rPr>
          <w:b/>
          <w:bCs/>
          <w:color w:val="000000" w:themeColor="text1"/>
        </w:rPr>
        <w:t>:</w:t>
      </w:r>
    </w:p>
    <w:p w14:paraId="412AEB5F" w14:textId="77777777" w:rsidR="00A03B91" w:rsidRPr="00A03B91" w:rsidRDefault="00A03B91" w:rsidP="00A03B91">
      <w:pPr>
        <w:jc w:val="both"/>
        <w:rPr>
          <w:lang w:val="en-US"/>
        </w:rPr>
      </w:pPr>
      <w:r w:rsidRPr="00A03B91">
        <w:rPr>
          <w:lang w:val="en-US"/>
        </w:rPr>
        <w:t>This project aims to demonstrate that ReS</w:t>
      </w:r>
      <w:r w:rsidRPr="00A03B91">
        <w:rPr>
          <w:vertAlign w:val="subscript"/>
          <w:lang w:val="en-US"/>
        </w:rPr>
        <w:t>2</w:t>
      </w:r>
      <w:r w:rsidRPr="00A03B91">
        <w:rPr>
          <w:lang w:val="en-US"/>
        </w:rPr>
        <w:t>-based catalysts provide a sulfur-tolerant and stable alternative to conventional copper systems for ethanol dehydrogenation. By integrating EDH with condensation and hydrogenation catalysts in modular cascade configurations, the work will establish a non-oxidative route for upgrading bioethanol into higher-value chemicals and fuels. The approach reduces reliance on oxidants, valorizes the hydrogen co-product, and enables the use of less purified bioethanol streams, thereby improving the economic and environmental performance of biorefinery processes.</w:t>
      </w:r>
    </w:p>
    <w:p w14:paraId="26946E29" w14:textId="77777777" w:rsidR="00A03B91" w:rsidRDefault="00A03B91" w:rsidP="00A03B91">
      <w:pPr>
        <w:pStyle w:val="Titre3"/>
        <w:spacing w:line="276" w:lineRule="auto"/>
        <w:jc w:val="both"/>
      </w:pPr>
    </w:p>
    <w:p w14:paraId="2752DBC9" w14:textId="77777777" w:rsidR="00A03B91" w:rsidRPr="00A03B91" w:rsidRDefault="00A03B91" w:rsidP="00A03B91">
      <w:pPr>
        <w:pStyle w:val="Titre3"/>
        <w:spacing w:line="276" w:lineRule="auto"/>
        <w:jc w:val="both"/>
        <w:rPr>
          <w:b/>
          <w:bCs/>
          <w:lang w:val="fr-FR"/>
        </w:rPr>
      </w:pPr>
      <w:r w:rsidRPr="00A03B91">
        <w:rPr>
          <w:b/>
          <w:bCs/>
          <w:lang w:val="fr-FR"/>
        </w:rPr>
        <w:t>Administrative Information</w:t>
      </w:r>
    </w:p>
    <w:p w14:paraId="30C66D09" w14:textId="77777777" w:rsidR="00A03B91" w:rsidRPr="00A03B91" w:rsidRDefault="00A03B91" w:rsidP="00A03B91">
      <w:pPr>
        <w:tabs>
          <w:tab w:val="decimal" w:pos="284"/>
        </w:tabs>
        <w:ind w:left="284"/>
        <w:jc w:val="both"/>
        <w:rPr>
          <w:i/>
        </w:rPr>
      </w:pPr>
      <w:r w:rsidRPr="00A03B91">
        <w:rPr>
          <w:i/>
        </w:rPr>
        <w:t xml:space="preserve">Starting: </w:t>
      </w:r>
      <w:r w:rsidRPr="00A03B91">
        <w:t>October 2026</w:t>
      </w:r>
      <w:r w:rsidRPr="00A03B91">
        <w:rPr>
          <w:i/>
        </w:rPr>
        <w:t xml:space="preserve"> </w:t>
      </w:r>
    </w:p>
    <w:p w14:paraId="4751C2E4" w14:textId="77777777" w:rsidR="00A03B91" w:rsidRPr="0052466C" w:rsidRDefault="00A03B91" w:rsidP="00A03B91">
      <w:pPr>
        <w:tabs>
          <w:tab w:val="decimal" w:pos="284"/>
        </w:tabs>
        <w:ind w:left="284"/>
        <w:jc w:val="both"/>
      </w:pPr>
      <w:r>
        <w:rPr>
          <w:i/>
        </w:rPr>
        <w:t xml:space="preserve">Duration: </w:t>
      </w:r>
      <w:r w:rsidRPr="0052466C">
        <w:t>36 months</w:t>
      </w:r>
    </w:p>
    <w:p w14:paraId="26AE8FC1" w14:textId="77777777" w:rsidR="00A03B91" w:rsidRPr="0078129F" w:rsidRDefault="00A03B91" w:rsidP="00A03B91">
      <w:pPr>
        <w:tabs>
          <w:tab w:val="decimal" w:pos="284"/>
        </w:tabs>
        <w:ind w:left="284"/>
        <w:jc w:val="both"/>
      </w:pPr>
      <w:r>
        <w:rPr>
          <w:i/>
        </w:rPr>
        <w:t xml:space="preserve">Location: </w:t>
      </w:r>
      <w:r w:rsidRPr="0078129F">
        <w:t>Institut de Recherches sur la Catalyse et l'Environnement de Lyon, UMR 5256</w:t>
      </w:r>
      <w:r>
        <w:t xml:space="preserve"> CNRS &amp; Université Claude Bernard Lyon 1, (University of Lyon 1), France</w:t>
      </w:r>
    </w:p>
    <w:p w14:paraId="11CD9A4F" w14:textId="77777777" w:rsidR="00A03B91" w:rsidRPr="00C02FAD" w:rsidRDefault="00A03B91" w:rsidP="00A03B91">
      <w:pPr>
        <w:tabs>
          <w:tab w:val="decimal" w:pos="284"/>
        </w:tabs>
        <w:ind w:left="284"/>
        <w:jc w:val="both"/>
        <w:rPr>
          <w:lang w:val="en-US"/>
        </w:rPr>
      </w:pPr>
      <w:r>
        <w:rPr>
          <w:i/>
          <w:lang w:val="en-US"/>
        </w:rPr>
        <w:t>Desired profile</w:t>
      </w:r>
      <w:r w:rsidRPr="00C02FAD">
        <w:rPr>
          <w:lang w:val="en-US"/>
        </w:rPr>
        <w:t>: Master d</w:t>
      </w:r>
      <w:r>
        <w:rPr>
          <w:lang w:val="en-US"/>
        </w:rPr>
        <w:t>egree</w:t>
      </w:r>
      <w:r w:rsidRPr="00C02FAD">
        <w:rPr>
          <w:lang w:val="en-US"/>
        </w:rPr>
        <w:t xml:space="preserve">, specialized in </w:t>
      </w:r>
      <w:r>
        <w:rPr>
          <w:lang w:val="en-US"/>
        </w:rPr>
        <w:t>c</w:t>
      </w:r>
      <w:r w:rsidRPr="00C02FAD">
        <w:rPr>
          <w:lang w:val="en-US"/>
        </w:rPr>
        <w:t>atalysis</w:t>
      </w:r>
      <w:r>
        <w:rPr>
          <w:lang w:val="en-US"/>
        </w:rPr>
        <w:t xml:space="preserve"> and</w:t>
      </w:r>
      <w:r w:rsidRPr="00C02FAD">
        <w:rPr>
          <w:lang w:val="en-US"/>
        </w:rPr>
        <w:t>/</w:t>
      </w:r>
      <w:r>
        <w:rPr>
          <w:lang w:val="en-US"/>
        </w:rPr>
        <w:t xml:space="preserve">or </w:t>
      </w:r>
      <w:r w:rsidRPr="00C02FAD">
        <w:rPr>
          <w:lang w:val="en-US"/>
        </w:rPr>
        <w:t>physical chemistry</w:t>
      </w:r>
    </w:p>
    <w:p w14:paraId="17A58F36" w14:textId="77777777" w:rsidR="00A03B91" w:rsidRDefault="00A03B91" w:rsidP="00A03B91">
      <w:pPr>
        <w:tabs>
          <w:tab w:val="decimal" w:pos="284"/>
        </w:tabs>
        <w:ind w:left="284"/>
        <w:jc w:val="both"/>
        <w:rPr>
          <w:i/>
          <w:lang w:val="en-US"/>
        </w:rPr>
      </w:pPr>
    </w:p>
    <w:p w14:paraId="4573BB2C" w14:textId="77777777" w:rsidR="00A03B91" w:rsidRDefault="00A03B91" w:rsidP="00A03B91">
      <w:pPr>
        <w:tabs>
          <w:tab w:val="decimal" w:pos="284"/>
        </w:tabs>
        <w:ind w:left="284"/>
        <w:jc w:val="both"/>
        <w:rPr>
          <w:i/>
          <w:lang w:val="en-US"/>
        </w:rPr>
      </w:pPr>
      <w:r>
        <w:rPr>
          <w:i/>
          <w:lang w:val="en-US"/>
        </w:rPr>
        <w:t>Supervisors and c</w:t>
      </w:r>
      <w:r w:rsidRPr="00C02FAD">
        <w:rPr>
          <w:i/>
          <w:lang w:val="en-US"/>
        </w:rPr>
        <w:t>ontacts:</w:t>
      </w:r>
    </w:p>
    <w:p w14:paraId="03E05570" w14:textId="77777777" w:rsidR="00A03B91" w:rsidRPr="00A03B91" w:rsidRDefault="00A03B91" w:rsidP="00A03B91">
      <w:pPr>
        <w:tabs>
          <w:tab w:val="decimal" w:pos="284"/>
        </w:tabs>
        <w:ind w:left="284"/>
        <w:jc w:val="both"/>
        <w:rPr>
          <w:lang w:val="en-US"/>
        </w:rPr>
      </w:pPr>
      <w:r w:rsidRPr="00A03B91">
        <w:rPr>
          <w:lang w:val="en-US"/>
        </w:rPr>
        <w:t xml:space="preserve">Pavel Afanasiev </w:t>
      </w:r>
      <w:hyperlink r:id="rId7" w:history="1">
        <w:r w:rsidRPr="00A03B91">
          <w:rPr>
            <w:rStyle w:val="Lienhypertexte"/>
            <w:lang w:val="en-US"/>
          </w:rPr>
          <w:t>pavel.afanasiev@ircelyon.univ-lyon1.fr</w:t>
        </w:r>
      </w:hyperlink>
    </w:p>
    <w:p w14:paraId="24D8DB51" w14:textId="0522F759" w:rsidR="007C7C06" w:rsidRPr="00A03B91" w:rsidRDefault="00A03B91" w:rsidP="00A03B91">
      <w:pPr>
        <w:tabs>
          <w:tab w:val="decimal" w:pos="284"/>
        </w:tabs>
        <w:ind w:left="284"/>
        <w:jc w:val="both"/>
      </w:pPr>
      <w:r w:rsidRPr="00DF6FF7">
        <w:t xml:space="preserve">Dorothée </w:t>
      </w:r>
      <w:r>
        <w:t xml:space="preserve">Laurenti </w:t>
      </w:r>
      <w:hyperlink r:id="rId8" w:history="1">
        <w:r w:rsidRPr="003D2D6F">
          <w:rPr>
            <w:rStyle w:val="Lienhypertexte"/>
          </w:rPr>
          <w:t>dorothee.laurenti@ircelyon.univ-lyon1.fr</w:t>
        </w:r>
      </w:hyperlink>
    </w:p>
    <w:p w14:paraId="04B63342" w14:textId="77777777" w:rsidR="00A1450C" w:rsidRPr="00EB50D6" w:rsidRDefault="00A1450C" w:rsidP="009A474B">
      <w:pPr>
        <w:tabs>
          <w:tab w:val="left" w:pos="1290"/>
        </w:tabs>
        <w:rPr>
          <w:rFonts w:ascii="Montserrat" w:hAnsi="Montserrat" w:cs="Arial"/>
          <w:sz w:val="24"/>
          <w:szCs w:val="24"/>
        </w:rPr>
      </w:pPr>
    </w:p>
    <w:sectPr w:rsidR="00A1450C" w:rsidRPr="00EB50D6" w:rsidSect="00EB50D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8A11" w14:textId="77777777" w:rsidR="00EB50D6" w:rsidRDefault="00EB50D6" w:rsidP="00EB50D6">
      <w:pPr>
        <w:spacing w:after="0" w:line="240" w:lineRule="auto"/>
      </w:pPr>
      <w:r>
        <w:separator/>
      </w:r>
    </w:p>
  </w:endnote>
  <w:endnote w:type="continuationSeparator" w:id="0">
    <w:p w14:paraId="62922A42" w14:textId="77777777" w:rsidR="00EB50D6" w:rsidRDefault="00EB50D6" w:rsidP="00EB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6738"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noProof/>
        <w:color w:val="A6A6A6" w:themeColor="background1" w:themeShade="A6"/>
        <w:szCs w:val="18"/>
      </w:rPr>
      <w:t>IRCELYON UMR 5256 / CNRS - UCBL</w:t>
    </w:r>
  </w:p>
  <w:p w14:paraId="54E2A150"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color w:val="A6A6A6" w:themeColor="background1" w:themeShade="A6"/>
        <w:szCs w:val="18"/>
      </w:rPr>
      <w:t xml:space="preserve">2 avenue Albert Einstein </w:t>
    </w:r>
    <w:r w:rsidRPr="00EB50D6">
      <w:rPr>
        <w:rFonts w:ascii="Montserrat" w:eastAsia="MS Mincho" w:hAnsi="Montserrat" w:cs="Arial"/>
        <w:color w:val="A6A6A6" w:themeColor="background1" w:themeShade="A6"/>
        <w:szCs w:val="18"/>
      </w:rPr>
      <w:t>•</w:t>
    </w:r>
    <w:r w:rsidRPr="00EB50D6">
      <w:rPr>
        <w:rFonts w:ascii="Montserrat" w:hAnsi="Montserrat" w:cs="Arial"/>
        <w:color w:val="A6A6A6" w:themeColor="background1" w:themeShade="A6"/>
        <w:szCs w:val="18"/>
      </w:rPr>
      <w:t xml:space="preserve"> 69626 Villeurbanne cedex</w:t>
    </w:r>
  </w:p>
  <w:p w14:paraId="15536F54"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color w:val="A6A6A6" w:themeColor="background1" w:themeShade="A6"/>
        <w:szCs w:val="18"/>
      </w:rPr>
      <w:t>Tél : + 33 [0] 472 445 300 • Fax : + 33 [0] 472 445 399</w:t>
    </w:r>
  </w:p>
  <w:p w14:paraId="3CE2A742" w14:textId="77777777" w:rsidR="00EB50D6" w:rsidRPr="00EB50D6" w:rsidRDefault="00EB50D6">
    <w:pPr>
      <w:pStyle w:val="Pieddepage"/>
      <w:rPr>
        <w:rFonts w:ascii="Montserrat" w:hAnsi="Montserrat" w:cs="Arial"/>
        <w:color w:val="A6A6A6" w:themeColor="background1" w:themeShade="A6"/>
        <w:szCs w:val="18"/>
        <w:u w:val="single" w:color="A6A6A6" w:themeColor="background1" w:themeShade="A6"/>
      </w:rPr>
    </w:pPr>
    <w:r w:rsidRPr="00EB50D6">
      <w:rPr>
        <w:rFonts w:ascii="Montserrat" w:hAnsi="Montserrat" w:cs="Arial"/>
        <w:color w:val="A6A6A6" w:themeColor="background1" w:themeShade="A6"/>
        <w:szCs w:val="18"/>
        <w:u w:val="single" w:color="A6A6A6" w:themeColor="background1" w:themeShade="A6"/>
      </w:rPr>
      <w:t>www.ircelyon.univ-lyon1.fr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D9F0" w14:textId="77777777" w:rsidR="00EB50D6" w:rsidRDefault="00EB50D6" w:rsidP="00EB50D6">
      <w:pPr>
        <w:spacing w:after="0" w:line="240" w:lineRule="auto"/>
      </w:pPr>
      <w:r>
        <w:separator/>
      </w:r>
    </w:p>
  </w:footnote>
  <w:footnote w:type="continuationSeparator" w:id="0">
    <w:p w14:paraId="1DE51CB3" w14:textId="77777777" w:rsidR="00EB50D6" w:rsidRDefault="00EB50D6" w:rsidP="00EB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03C0" w14:textId="77777777" w:rsidR="00EB50D6" w:rsidRDefault="00F15694">
    <w:pPr>
      <w:pStyle w:val="En-tte"/>
    </w:pPr>
    <w:r>
      <w:rPr>
        <w:noProof/>
      </w:rPr>
      <w:drawing>
        <wp:anchor distT="0" distB="0" distL="114300" distR="114300" simplePos="0" relativeHeight="251661312" behindDoc="0" locked="0" layoutInCell="1" allowOverlap="1" wp14:anchorId="2271A858" wp14:editId="7D53ED9D">
          <wp:simplePos x="0" y="0"/>
          <wp:positionH relativeFrom="column">
            <wp:posOffset>1964055</wp:posOffset>
          </wp:positionH>
          <wp:positionV relativeFrom="paragraph">
            <wp:posOffset>-297180</wp:posOffset>
          </wp:positionV>
          <wp:extent cx="2620010" cy="742950"/>
          <wp:effectExtent l="0" t="0" r="889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Lyon1Off_CoulRvb72dpi.jpg"/>
                  <pic:cNvPicPr/>
                </pic:nvPicPr>
                <pic:blipFill>
                  <a:blip r:embed="rId1">
                    <a:extLst>
                      <a:ext uri="{28A0092B-C50C-407E-A947-70E740481C1C}">
                        <a14:useLocalDpi xmlns:a14="http://schemas.microsoft.com/office/drawing/2010/main" val="0"/>
                      </a:ext>
                    </a:extLst>
                  </a:blip>
                  <a:stretch>
                    <a:fillRect/>
                  </a:stretch>
                </pic:blipFill>
                <pic:spPr>
                  <a:xfrm>
                    <a:off x="0" y="0"/>
                    <a:ext cx="2620010" cy="742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CFA257" wp14:editId="1393924A">
          <wp:simplePos x="0" y="0"/>
          <wp:positionH relativeFrom="column">
            <wp:posOffset>-356870</wp:posOffset>
          </wp:positionH>
          <wp:positionV relativeFrom="paragraph">
            <wp:posOffset>-306705</wp:posOffset>
          </wp:positionV>
          <wp:extent cx="1720850" cy="812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0850" cy="812800"/>
                  </a:xfrm>
                  <a:prstGeom prst="rect">
                    <a:avLst/>
                  </a:prstGeom>
                </pic:spPr>
              </pic:pic>
            </a:graphicData>
          </a:graphic>
        </wp:anchor>
      </w:drawing>
    </w:r>
    <w:r>
      <w:rPr>
        <w:noProof/>
      </w:rPr>
      <w:drawing>
        <wp:anchor distT="0" distB="0" distL="114300" distR="114300" simplePos="0" relativeHeight="251660288" behindDoc="0" locked="0" layoutInCell="1" allowOverlap="1" wp14:anchorId="1F5FDA94" wp14:editId="3B51345C">
          <wp:simplePos x="0" y="0"/>
          <wp:positionH relativeFrom="column">
            <wp:posOffset>5348605</wp:posOffset>
          </wp:positionH>
          <wp:positionV relativeFrom="paragraph">
            <wp:posOffset>-287655</wp:posOffset>
          </wp:positionV>
          <wp:extent cx="733425" cy="72326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NRS_BLEU.png"/>
                  <pic:cNvPicPr/>
                </pic:nvPicPr>
                <pic:blipFill>
                  <a:blip r:embed="rId3">
                    <a:extLst>
                      <a:ext uri="{28A0092B-C50C-407E-A947-70E740481C1C}">
                        <a14:useLocalDpi xmlns:a14="http://schemas.microsoft.com/office/drawing/2010/main" val="0"/>
                      </a:ext>
                    </a:extLst>
                  </a:blip>
                  <a:stretch>
                    <a:fillRect/>
                  </a:stretch>
                </pic:blipFill>
                <pic:spPr>
                  <a:xfrm>
                    <a:off x="0" y="0"/>
                    <a:ext cx="733425"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7D"/>
    <w:rsid w:val="000120C2"/>
    <w:rsid w:val="001231F9"/>
    <w:rsid w:val="001405A4"/>
    <w:rsid w:val="001523B0"/>
    <w:rsid w:val="00161B2E"/>
    <w:rsid w:val="002C647D"/>
    <w:rsid w:val="00366139"/>
    <w:rsid w:val="003F21B8"/>
    <w:rsid w:val="004C77CC"/>
    <w:rsid w:val="004D1A66"/>
    <w:rsid w:val="004E43C9"/>
    <w:rsid w:val="00584FEC"/>
    <w:rsid w:val="006963A0"/>
    <w:rsid w:val="006E5048"/>
    <w:rsid w:val="00712351"/>
    <w:rsid w:val="007C7C06"/>
    <w:rsid w:val="00841506"/>
    <w:rsid w:val="009273F3"/>
    <w:rsid w:val="009647DD"/>
    <w:rsid w:val="009A474B"/>
    <w:rsid w:val="00A03B91"/>
    <w:rsid w:val="00A1450C"/>
    <w:rsid w:val="00EB50D6"/>
    <w:rsid w:val="00F15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6423A"/>
  <w15:docId w15:val="{D85AEACF-B19B-47AA-8B06-DF1516A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0C"/>
  </w:style>
  <w:style w:type="paragraph" w:styleId="Titre1">
    <w:name w:val="heading 1"/>
    <w:basedOn w:val="Normal"/>
    <w:next w:val="Normal"/>
    <w:link w:val="Titre1Car"/>
    <w:qFormat/>
    <w:rsid w:val="00A03B91"/>
    <w:pPr>
      <w:keepNext/>
      <w:spacing w:after="0" w:line="240" w:lineRule="auto"/>
      <w:outlineLvl w:val="0"/>
    </w:pPr>
    <w:rPr>
      <w:rFonts w:ascii="Times New Roman" w:eastAsia="Times New Roman" w:hAnsi="Times New Roman" w:cs="Times New Roman"/>
      <w:i/>
      <w:iCs/>
      <w:noProof/>
      <w:lang w:eastAsia="fr-FR"/>
    </w:rPr>
  </w:style>
  <w:style w:type="paragraph" w:styleId="Titre2">
    <w:name w:val="heading 2"/>
    <w:basedOn w:val="Normal"/>
    <w:next w:val="Normal"/>
    <w:link w:val="Titre2Car"/>
    <w:uiPriority w:val="9"/>
    <w:semiHidden/>
    <w:unhideWhenUsed/>
    <w:qFormat/>
    <w:rsid w:val="00A03B91"/>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eastAsia="fr-FR"/>
    </w:rPr>
  </w:style>
  <w:style w:type="paragraph" w:styleId="Titre3">
    <w:name w:val="heading 3"/>
    <w:basedOn w:val="Normal"/>
    <w:next w:val="Normal"/>
    <w:link w:val="Titre3Car"/>
    <w:uiPriority w:val="9"/>
    <w:unhideWhenUsed/>
    <w:qFormat/>
    <w:rsid w:val="00A03B9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74B"/>
    <w:rPr>
      <w:rFonts w:ascii="Tahoma" w:hAnsi="Tahoma" w:cs="Tahoma"/>
      <w:sz w:val="16"/>
      <w:szCs w:val="16"/>
    </w:rPr>
  </w:style>
  <w:style w:type="paragraph" w:styleId="En-tte">
    <w:name w:val="header"/>
    <w:basedOn w:val="Normal"/>
    <w:link w:val="En-tteCar"/>
    <w:uiPriority w:val="99"/>
    <w:unhideWhenUsed/>
    <w:rsid w:val="00EB50D6"/>
    <w:pPr>
      <w:tabs>
        <w:tab w:val="center" w:pos="4536"/>
        <w:tab w:val="right" w:pos="9072"/>
      </w:tabs>
      <w:spacing w:after="0" w:line="240" w:lineRule="auto"/>
    </w:pPr>
  </w:style>
  <w:style w:type="character" w:customStyle="1" w:styleId="En-tteCar">
    <w:name w:val="En-tête Car"/>
    <w:basedOn w:val="Policepardfaut"/>
    <w:link w:val="En-tte"/>
    <w:uiPriority w:val="99"/>
    <w:rsid w:val="00EB50D6"/>
  </w:style>
  <w:style w:type="paragraph" w:styleId="Pieddepage">
    <w:name w:val="footer"/>
    <w:basedOn w:val="Normal"/>
    <w:link w:val="PieddepageCar"/>
    <w:uiPriority w:val="99"/>
    <w:unhideWhenUsed/>
    <w:rsid w:val="00EB50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50D6"/>
  </w:style>
  <w:style w:type="character" w:customStyle="1" w:styleId="Titre1Car">
    <w:name w:val="Titre 1 Car"/>
    <w:basedOn w:val="Policepardfaut"/>
    <w:link w:val="Titre1"/>
    <w:rsid w:val="00A03B91"/>
    <w:rPr>
      <w:rFonts w:ascii="Times New Roman" w:eastAsia="Times New Roman" w:hAnsi="Times New Roman" w:cs="Times New Roman"/>
      <w:i/>
      <w:iCs/>
      <w:noProof/>
      <w:lang w:eastAsia="fr-FR"/>
    </w:rPr>
  </w:style>
  <w:style w:type="character" w:customStyle="1" w:styleId="Titre2Car">
    <w:name w:val="Titre 2 Car"/>
    <w:basedOn w:val="Policepardfaut"/>
    <w:link w:val="Titre2"/>
    <w:uiPriority w:val="9"/>
    <w:semiHidden/>
    <w:rsid w:val="00A03B91"/>
    <w:rPr>
      <w:rFonts w:asciiTheme="majorHAnsi" w:eastAsiaTheme="majorEastAsia" w:hAnsiTheme="majorHAnsi" w:cstheme="majorBidi"/>
      <w:color w:val="365F91" w:themeColor="accent1" w:themeShade="BF"/>
      <w:sz w:val="26"/>
      <w:szCs w:val="26"/>
      <w:lang w:val="en-GB" w:eastAsia="fr-FR"/>
    </w:rPr>
  </w:style>
  <w:style w:type="character" w:customStyle="1" w:styleId="Titre3Car">
    <w:name w:val="Titre 3 Car"/>
    <w:basedOn w:val="Policepardfaut"/>
    <w:link w:val="Titre3"/>
    <w:uiPriority w:val="9"/>
    <w:rsid w:val="00A03B91"/>
    <w:rPr>
      <w:rFonts w:asciiTheme="majorHAnsi" w:eastAsiaTheme="majorEastAsia" w:hAnsiTheme="majorHAnsi" w:cstheme="majorBidi"/>
      <w:color w:val="243F60" w:themeColor="accent1" w:themeShade="7F"/>
      <w:sz w:val="24"/>
      <w:szCs w:val="24"/>
      <w:lang w:val="en-GB" w:eastAsia="fr-FR"/>
    </w:rPr>
  </w:style>
  <w:style w:type="character" w:styleId="Lienhypertexte">
    <w:name w:val="Hyperlink"/>
    <w:basedOn w:val="Policepardfaut"/>
    <w:uiPriority w:val="99"/>
    <w:unhideWhenUsed/>
    <w:rsid w:val="00A03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rothee.laurenti@ircelyon.univ-lyon1.fr" TargetMode="External"/><Relationship Id="rId3" Type="http://schemas.openxmlformats.org/officeDocument/2006/relationships/webSettings" Target="webSettings.xml"/><Relationship Id="rId7" Type="http://schemas.openxmlformats.org/officeDocument/2006/relationships/hyperlink" Target="mailto:pavel.afanasiev@ircelyon.univ-lyon1.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3882</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diab</dc:creator>
  <cp:lastModifiedBy>marlene fabre</cp:lastModifiedBy>
  <cp:revision>2</cp:revision>
  <dcterms:created xsi:type="dcterms:W3CDTF">2026-03-31T08:17:00Z</dcterms:created>
  <dcterms:modified xsi:type="dcterms:W3CDTF">2026-03-31T08:17:00Z</dcterms:modified>
</cp:coreProperties>
</file>